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</w:rPr>
        <w:t xml:space="preserve">Методика расчета иного межбюджетного трансферта из областного бюджета Новосибирской области местным бюджетам на обеспечение жильем молодых семей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jc w:val="left"/>
        <w:spacing w:after="0" w:afterAutospacing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редоставление иных межбюджетных трансфертов бюджетам муниципальных образований, участвующим в обеспечении реализации программы, осуществляется в целях обеспечения финансирования расходов на предоставление молодым семьям социальных выплат в рамках реализаци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мероприятий по обеспечению жильем молодых семей федерального проекта «Содействие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услуг» государственн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й программы Российской Федерации «Обеспечение доступным и комфортным жильем и коммунальными услугами граждан Российской Федерации» (далее - программа), утвержденной постановлением Правительства Российской Федерации от 30.12.2017 № 1710, и государственной 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рограммы «Стимулирование развития жилищного строительства в Новосибирской области».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 случае если Новосибирской области не выделены средства федерального бюджета на соответствующий финансовый год на реализацию программы, мероприятие программы реализуется в пределах утвержденных объемов средств областного бюджета Новосибирской области.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  <w14:ligatures w14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бязательным условием, а также критерием для предоставления иных межбюджетных трансфертов местным бюджетам является наличие в муниципальных образованиях молодых семей, включенных в списки молодых семей - участников программы, изъявивших желание получить соц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иальную выплату в планируемом году (далее - списки участников).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ные межбюджетные трансферты бюджетам муниципальных образований для предоставления социальных выплат молодым семьям - участникам программы распределяются пропорционально количеству молодых семей - участников программы, общей расчетной стоимости жилья для эт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их молодых семей, определяемых в соответствии со списками участников программы.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Размер иных межбюджетных трансфертов бюджету муниципального образования для предоставления социальных выплат молодым семьям - участникам программы в планируемом году определяется по формуле: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ДСмо = ДСобл x Кмо, где: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both"/>
        <w:spacing w:before="0"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ДСмо - размер иных межбюджетных трансфертов из областного бюджета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Новосибирской области, предоставляемых бюджету муниципального образования для предоставления социальных выплат молодым семьям - участникам программы;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ДСобл - объем средств областного бюджета Новосибирской области, подлежащих распределению между бюджетами муниципальных образований для предоставления социальных выплат молодым семьям - участникам программы;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Кмо - коэффициент стоимости жилья для молодых семей - участников программы по каждому муниципальному образованию, где: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center"/>
        <w:spacing w:before="0" w:after="0" w:line="240" w:lineRule="auto"/>
        <w:rPr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highlight w:val="none"/>
        </w:rPr>
      </w:r>
      <w:r>
        <w:rPr>
          <w:highlight w:val="none"/>
        </w:rPr>
      </w:r>
    </w:p>
    <w:p>
      <w:pPr>
        <w:ind w:left="0" w:right="0" w:firstLine="709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Кмо = СЖмо / СЖобл, где: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СЖмо - совокупная расчетная стоимость жилья для молодых семей - участников программы, изъявивших желание получить социальную выплату в планируемом году, по муниципальному образованию;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СЖобл - совокупная расчетная стоимость жилья для молодых семей - участников программы, изъявивших желание получить социальную выплату в планируемом году, по Новосибирской области.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center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СЖмо = СЖмс1 + СЖмс2 + СЖмс3 + ... + СЖмсn, где: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709"/>
        <w:jc w:val="both"/>
        <w:spacing w:before="0" w:after="0" w:line="240" w:lineRule="auto"/>
        <w:rPr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СЖмс - расчетная стоимость жилья для молодой семьи - участницы программы. СЖмс определяется в соответствии с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Правилами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предоставления молодым семьям социальных выплат на приобретение (строительство) жилья и их использования, предусмотренными приложением № 1 к особенностям реализации отдельных мероприятий государственной программы Российской Федерации «Обеспечение доступны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м и комфортным жильем и коммунальными услугами граждан Российской Федерации», утвержденными постановлением Правительства Российской Федерации от 17.12.2010 № 1050;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n - количество молодых семей - участников программы по муниципальному образованию.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0"/>
        <w:jc w:val="both"/>
        <w:spacing w:before="0" w:after="0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СЖобл = Сжмо1 + Сжмо2 + Сжмо3 + ... + Сжмоm, где: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0"/>
        <w:jc w:val="center"/>
        <w:spacing w:before="0" w:after="0"/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:highlight w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m - количество муниципальных образований, участвующих в реализации программы.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случае если в соответствии с указанной Методикой не могут быть предусмотрены средства на социальную выплату и размер иных межбюджетных трансфертов, рассчитанный с учетом коэффициента стоимости жилья по такому муниципальному образованию, недостаточен даже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д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ля одной молодой семьи, первой по очередности, то определяется расчетный размер социальной выплаты, при этом недостающие до расчетного размера социальной выплаты средства для данной молодой семьи дополняются средствами в пределах лимитов бюджетных ассигнов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аний.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случае если после распределения иных межбюджетных трансфертов остаток средств на социальную выплату молодой семье недостаточен и составляет менее половины размера социальной выплаты, то иные межбюджетные трансферты бюджету муниципального образования умень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шаются на недостающую сумму; если более чем на половину социальной выплаты, то иные межбюджетные трансферты бюджету муниципального образования увеличиваются на эту сумму, в пределах лимитов бюджетных ассигнований.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случае высвобождения средств, предназначенных для предоставления социальных выплат молодым семьям - претендентам на получение социальных выплат в муниципальном образовании, по письменному сообщению главы администрации соответствующего муниципального образ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о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вания высвободившиеся средства подлежат передаче молодым семьям - участникам программы в соответствии с очередностью, сформировавшейся по муниципальному образованию, в пределах объема иных межбюджетных трансфертов, утвержденных законом об областном бюджете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на текущий финансовый год и плановый период.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П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ри этом в целях сохранения установленного размера социальной выплаты при недостаточности или избытке высвободившихся иных межбюджетных трансфертов до расчетного размера социальной выплаты для вновь утверждаемой семьи в списке молодых семей - претендентов н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а получение социальных выплат текущего года производится перераспределение иных межбюджетных трансфертов между муниципальными образованиями в пределах лимитов бюджетных ассигнований.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В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 случае полного обеспечения социальными выплатами молодых семей, изъявивших желание участвовать в программе, и при наличии высвободившихся иных межбюджетных трансфертов, предназначенных для социальных выплат в данном муниципальном образовании, указанные ср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  <w:t xml:space="preserve">едства перераспределяются между муниципальными образованиями. При этом указанные средства подлежат передаче в бюджет соответствующих муниципальных образований.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  <w14:ligatures w14:val="none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eastAsia="Times New Roman" w:cs="Times New Roman"/>
          <w:sz w:val="28"/>
          <w:szCs w:val="28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tbl>
      <w:tblPr>
        <w:tblStyle w:val="686"/>
        <w:tblW w:w="0" w:type="auto"/>
        <w:tblLayout w:type="fixed"/>
        <w:tblLook w:val="04A0" w:firstRow="1" w:lastRow="0" w:firstColumn="1" w:lastColumn="0" w:noHBand="0" w:noVBand="1"/>
      </w:tblPr>
      <w:tblGrid>
        <w:gridCol w:w="4111"/>
        <w:gridCol w:w="5811"/>
      </w:tblGrid>
      <w:tr>
        <w:tblPrEx/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4111" w:type="dxa"/>
            <w:textDirection w:val="lrTb"/>
            <w:noWrap w:val="false"/>
          </w:tcPr>
          <w:p>
            <w:pPr>
              <w:jc w:val="left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Министр строительства Новосибирской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5811" w:type="dxa"/>
            <w:vAlign w:val="center"/>
            <w:textDirection w:val="lrTb"/>
            <w:noWrap w:val="false"/>
          </w:tcPr>
          <w:p>
            <w:pPr>
              <w:jc w:val="right"/>
              <w:spacing w:before="0" w:after="0" w:line="288" w:lineRule="atLeast"/>
              <w:rPr>
                <w:rFonts w:ascii="Times New Roman" w:hAnsi="Times New Roman" w:cs="Times New Roman"/>
                <w:sz w:val="28"/>
                <w:szCs w:val="28"/>
              </w:rPr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</w:pBd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 xml:space="preserve">Д.Н. Богомолов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</w:p>
        </w:tc>
      </w:tr>
    </w:tbl>
    <w:p>
      <w:pPr>
        <w:ind w:left="0" w:right="0" w:firstLine="540"/>
        <w:jc w:val="both"/>
        <w:spacing w:before="0" w:after="0" w:line="288" w:lineRule="atLeast"/>
        <w:rPr>
          <w:rFonts w:ascii="Times New Roman" w:hAnsi="Times New Roman" w:eastAsia="Times New Roman" w:cs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eastAsia="Times New Roman" w:cs="Times New Roman"/>
          <w:color w:val="000000"/>
          <w:sz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567" w:bottom="1134" w:left="1417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Title"/>
    <w:basedOn w:val="830"/>
    <w:next w:val="830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link w:val="672"/>
    <w:uiPriority w:val="10"/>
    <w:rPr>
      <w:sz w:val="48"/>
      <w:szCs w:val="48"/>
    </w:rPr>
  </w:style>
  <w:style w:type="paragraph" w:styleId="674">
    <w:name w:val="Subtitle"/>
    <w:basedOn w:val="830"/>
    <w:next w:val="830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link w:val="674"/>
    <w:uiPriority w:val="11"/>
    <w:rPr>
      <w:sz w:val="24"/>
      <w:szCs w:val="24"/>
    </w:rPr>
  </w:style>
  <w:style w:type="paragraph" w:styleId="676">
    <w:name w:val="Quote"/>
    <w:basedOn w:val="830"/>
    <w:next w:val="830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30"/>
    <w:next w:val="830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30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link w:val="680"/>
    <w:uiPriority w:val="99"/>
  </w:style>
  <w:style w:type="paragraph" w:styleId="682">
    <w:name w:val="Footer"/>
    <w:basedOn w:val="830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link w:val="682"/>
    <w:uiPriority w:val="99"/>
  </w:style>
  <w:style w:type="paragraph" w:styleId="684">
    <w:name w:val="Caption"/>
    <w:basedOn w:val="830"/>
    <w:next w:val="830"/>
    <w:link w:val="68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"/>
    <w:basedOn w:val="83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3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2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724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725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727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728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786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787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788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789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790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791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793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794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795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796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797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798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800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801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802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803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804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805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ind w:left="0" w:right="0" w:firstLine="0"/>
      <w:spacing w:after="57"/>
    </w:pPr>
  </w:style>
  <w:style w:type="paragraph" w:styleId="820">
    <w:name w:val="toc 2"/>
    <w:basedOn w:val="830"/>
    <w:next w:val="830"/>
    <w:uiPriority w:val="39"/>
    <w:unhideWhenUsed/>
    <w:pPr>
      <w:ind w:left="283" w:right="0" w:firstLine="0"/>
      <w:spacing w:after="57"/>
    </w:pPr>
  </w:style>
  <w:style w:type="paragraph" w:styleId="821">
    <w:name w:val="toc 3"/>
    <w:basedOn w:val="830"/>
    <w:next w:val="830"/>
    <w:uiPriority w:val="39"/>
    <w:unhideWhenUsed/>
    <w:pPr>
      <w:ind w:left="567" w:right="0" w:firstLine="0"/>
      <w:spacing w:after="57"/>
    </w:pPr>
  </w:style>
  <w:style w:type="paragraph" w:styleId="822">
    <w:name w:val="toc 4"/>
    <w:basedOn w:val="830"/>
    <w:next w:val="830"/>
    <w:uiPriority w:val="39"/>
    <w:unhideWhenUsed/>
    <w:pPr>
      <w:ind w:left="850" w:right="0" w:firstLine="0"/>
      <w:spacing w:after="57"/>
    </w:pPr>
  </w:style>
  <w:style w:type="paragraph" w:styleId="823">
    <w:name w:val="toc 5"/>
    <w:basedOn w:val="830"/>
    <w:next w:val="830"/>
    <w:uiPriority w:val="39"/>
    <w:unhideWhenUsed/>
    <w:pPr>
      <w:ind w:left="1134" w:right="0" w:firstLine="0"/>
      <w:spacing w:after="57"/>
    </w:pPr>
  </w:style>
  <w:style w:type="paragraph" w:styleId="824">
    <w:name w:val="toc 6"/>
    <w:basedOn w:val="830"/>
    <w:next w:val="830"/>
    <w:uiPriority w:val="39"/>
    <w:unhideWhenUsed/>
    <w:pPr>
      <w:ind w:left="1417" w:right="0" w:firstLine="0"/>
      <w:spacing w:after="57"/>
    </w:pPr>
  </w:style>
  <w:style w:type="paragraph" w:styleId="825">
    <w:name w:val="toc 7"/>
    <w:basedOn w:val="830"/>
    <w:next w:val="830"/>
    <w:uiPriority w:val="39"/>
    <w:unhideWhenUsed/>
    <w:pPr>
      <w:ind w:left="1701" w:right="0" w:firstLine="0"/>
      <w:spacing w:after="57"/>
    </w:pPr>
  </w:style>
  <w:style w:type="paragraph" w:styleId="826">
    <w:name w:val="toc 8"/>
    <w:basedOn w:val="830"/>
    <w:next w:val="830"/>
    <w:uiPriority w:val="39"/>
    <w:unhideWhenUsed/>
    <w:pPr>
      <w:ind w:left="1984" w:right="0" w:firstLine="0"/>
      <w:spacing w:after="57"/>
    </w:pPr>
  </w:style>
  <w:style w:type="paragraph" w:styleId="827">
    <w:name w:val="toc 9"/>
    <w:basedOn w:val="830"/>
    <w:next w:val="830"/>
    <w:uiPriority w:val="39"/>
    <w:unhideWhenUsed/>
    <w:pPr>
      <w:ind w:left="2268" w:right="0" w:firstLine="0"/>
      <w:spacing w:after="57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basedOn w:val="830"/>
    <w:uiPriority w:val="1"/>
    <w:qFormat/>
    <w:pPr>
      <w:spacing w:after="0" w:line="240" w:lineRule="auto"/>
    </w:pPr>
  </w:style>
  <w:style w:type="paragraph" w:styleId="834">
    <w:name w:val="List Paragraph"/>
    <w:basedOn w:val="830"/>
    <w:uiPriority w:val="34"/>
    <w:qFormat/>
    <w:pPr>
      <w:contextualSpacing/>
      <w:ind w:left="720"/>
    </w:pPr>
  </w:style>
  <w:style w:type="character" w:styleId="835" w:default="1">
    <w:name w:val="Default Paragraph Font"/>
    <w:uiPriority w:val="1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Р7-Офис/2025.3.1.923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mks</cp:lastModifiedBy>
  <cp:revision>6</cp:revision>
  <dcterms:modified xsi:type="dcterms:W3CDTF">2025-10-15T09:59:39Z</dcterms:modified>
</cp:coreProperties>
</file>